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627A" w14:textId="50B51DF4" w:rsidR="0036046F" w:rsidRDefault="0036046F" w:rsidP="0036046F">
      <w:bookmarkStart w:id="0" w:name="OLE_LINK1"/>
      <w:r>
        <w:rPr>
          <w:noProof/>
        </w:rPr>
        <w:drawing>
          <wp:inline distT="0" distB="0" distL="0" distR="0" wp14:anchorId="33A007DC" wp14:editId="7ED184C9">
            <wp:extent cx="3246120" cy="459137"/>
            <wp:effectExtent l="0" t="0" r="0" b="0"/>
            <wp:docPr id="222188257" name="Picture 1" descr="A black background with white text&#10;&#10;AI-generated content may be incorrect.">
              <a:extLst xmlns:a="http://schemas.openxmlformats.org/drawingml/2006/main">
                <a:ext uri="{FF2B5EF4-FFF2-40B4-BE49-F238E27FC236}">
                  <a16:creationId xmlns:a16="http://schemas.microsoft.com/office/drawing/2014/main" id="{B2CB8122-9801-4589-96DF-45841CD32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88257" name="Picture 1" descr="A black background with white text&#10;&#10;AI-generated content may be incorrect."/>
                    <pic:cNvPicPr/>
                  </pic:nvPicPr>
                  <pic:blipFill>
                    <a:blip r:embed="rId10"/>
                    <a:stretch>
                      <a:fillRect/>
                    </a:stretch>
                  </pic:blipFill>
                  <pic:spPr>
                    <a:xfrm>
                      <a:off x="0" y="0"/>
                      <a:ext cx="3278878" cy="463770"/>
                    </a:xfrm>
                    <a:prstGeom prst="rect">
                      <a:avLst/>
                    </a:prstGeom>
                  </pic:spPr>
                </pic:pic>
              </a:graphicData>
            </a:graphic>
          </wp:inline>
        </w:drawing>
      </w:r>
    </w:p>
    <w:p w14:paraId="3D0F3DFB" w14:textId="314AC631" w:rsidR="00E6175E" w:rsidRDefault="00E6175E" w:rsidP="6DC962AA">
      <w:pPr>
        <w:pStyle w:val="NoSpacing"/>
        <w:jc w:val="center"/>
      </w:pPr>
    </w:p>
    <w:p w14:paraId="03D939F3" w14:textId="6D456747" w:rsidR="00DD3712" w:rsidRPr="00AF0397" w:rsidRDefault="0047331E" w:rsidP="0036046F">
      <w:pPr>
        <w:pStyle w:val="NoSpacing"/>
      </w:pPr>
      <w:r w:rsidRPr="00AF0397">
        <w:t>February 2026</w:t>
      </w:r>
    </w:p>
    <w:p w14:paraId="55816A06" w14:textId="77777777" w:rsidR="0047331E" w:rsidRPr="00AF0397" w:rsidRDefault="0047331E" w:rsidP="0036046F">
      <w:pPr>
        <w:pStyle w:val="NoSpacing"/>
      </w:pPr>
    </w:p>
    <w:p w14:paraId="3C7BF639" w14:textId="279C3204" w:rsidR="0047331E" w:rsidRPr="00AF0397" w:rsidRDefault="0047331E" w:rsidP="0036046F">
      <w:pPr>
        <w:pStyle w:val="NoSpacing"/>
        <w:rPr>
          <w:color w:val="000000" w:themeColor="text1"/>
        </w:rPr>
      </w:pPr>
      <w:r w:rsidRPr="00AF0397">
        <w:rPr>
          <w:color w:val="000000" w:themeColor="text1"/>
        </w:rPr>
        <w:t>Nexa Asset Acquisitions (</w:t>
      </w:r>
      <w:hyperlink r:id="rId11" w:history="1">
        <w:r w:rsidR="00DD08EE" w:rsidRPr="00505F64">
          <w:rPr>
            <w:rStyle w:val="Hyperlink"/>
          </w:rPr>
          <w:t>www.nexaassetacquisitions.com</w:t>
        </w:r>
      </w:hyperlink>
      <w:r w:rsidR="00DD08EE">
        <w:t xml:space="preserve">) </w:t>
      </w:r>
      <w:r w:rsidRPr="00AF0397">
        <w:rPr>
          <w:color w:val="000000" w:themeColor="text1"/>
        </w:rPr>
        <w:t xml:space="preserve">is well-placed to benefit from what is gearing up to be the largest Tax Refund Season in history. </w:t>
      </w:r>
      <w:r w:rsidR="007940C1">
        <w:rPr>
          <w:color w:val="000000" w:themeColor="text1"/>
        </w:rPr>
        <w:t xml:space="preserve"> </w:t>
      </w:r>
      <w:r w:rsidR="00ED33B1">
        <w:rPr>
          <w:color w:val="000000" w:themeColor="text1"/>
        </w:rPr>
        <w:t xml:space="preserve">Our focus on purchasing deeply discounted </w:t>
      </w:r>
      <w:proofErr w:type="gramStart"/>
      <w:r w:rsidR="00ED33B1">
        <w:rPr>
          <w:color w:val="000000" w:themeColor="text1"/>
        </w:rPr>
        <w:t>accounts receivable</w:t>
      </w:r>
      <w:proofErr w:type="gramEnd"/>
      <w:r w:rsidR="00ED33B1">
        <w:rPr>
          <w:color w:val="000000" w:themeColor="text1"/>
        </w:rPr>
        <w:t xml:space="preserve"> enables us to work with </w:t>
      </w:r>
      <w:r w:rsidR="00F100F0">
        <w:rPr>
          <w:color w:val="000000" w:themeColor="text1"/>
        </w:rPr>
        <w:t>consumers to repair their credit at a time when they have additional money in their pockets.</w:t>
      </w:r>
    </w:p>
    <w:p w14:paraId="2A246CDF" w14:textId="77777777" w:rsidR="0047331E" w:rsidRPr="001A00F9" w:rsidRDefault="0047331E" w:rsidP="0036046F">
      <w:pPr>
        <w:pStyle w:val="NoSpacing"/>
      </w:pPr>
    </w:p>
    <w:p w14:paraId="263A222A" w14:textId="77777777" w:rsidR="00CF2A20" w:rsidRPr="001A00F9" w:rsidRDefault="00CF2A20" w:rsidP="00CF2A20">
      <w:pPr>
        <w:spacing w:after="0" w:line="240" w:lineRule="auto"/>
        <w:rPr>
          <w:rFonts w:eastAsia="Times New Roman" w:cs="Times New Roman"/>
          <w:b/>
          <w:bCs/>
          <w:kern w:val="0"/>
          <w14:ligatures w14:val="none"/>
        </w:rPr>
      </w:pPr>
      <w:r w:rsidRPr="001A00F9">
        <w:rPr>
          <w:rFonts w:eastAsia="Times New Roman" w:cs="Times New Roman"/>
          <w:kern w:val="0"/>
          <w14:ligatures w14:val="none"/>
        </w:rPr>
        <w:t xml:space="preserve">Tax refunds in </w:t>
      </w:r>
      <w:r w:rsidRPr="001A00F9">
        <w:rPr>
          <w:rFonts w:eastAsia="Times New Roman" w:cs="Times New Roman"/>
          <w:b/>
          <w:bCs/>
          <w:kern w:val="0"/>
          <w14:ligatures w14:val="none"/>
        </w:rPr>
        <w:t>2026</w:t>
      </w:r>
      <w:r w:rsidRPr="001A00F9">
        <w:rPr>
          <w:rFonts w:eastAsia="Times New Roman" w:cs="Times New Roman"/>
          <w:kern w:val="0"/>
          <w14:ligatures w14:val="none"/>
        </w:rPr>
        <w:t xml:space="preserve"> are expected to provide a significant short-term boost to the U.S. economy, acting as a massive fiscal injection. This is due to the </w:t>
      </w:r>
      <w:r w:rsidRPr="001A00F9">
        <w:rPr>
          <w:rFonts w:eastAsia="Times New Roman" w:cs="Times New Roman"/>
          <w:b/>
          <w:bCs/>
          <w:kern w:val="0"/>
          <w14:ligatures w14:val="none"/>
        </w:rPr>
        <w:t>One Big Beautiful Bill Act (OBBBA).</w:t>
      </w:r>
    </w:p>
    <w:p w14:paraId="1416C135" w14:textId="77777777" w:rsidR="00CF2A20" w:rsidRPr="001A00F9" w:rsidRDefault="00CF2A20" w:rsidP="00CF2A20">
      <w:pPr>
        <w:spacing w:after="0" w:line="240" w:lineRule="auto"/>
        <w:rPr>
          <w:rFonts w:eastAsia="Times New Roman" w:cs="Times New Roman"/>
          <w:b/>
          <w:bCs/>
          <w:kern w:val="0"/>
          <w14:ligatures w14:val="none"/>
        </w:rPr>
      </w:pPr>
    </w:p>
    <w:p w14:paraId="60F5C3A0" w14:textId="26F5E528" w:rsidR="00CF2A20" w:rsidRPr="001A00F9" w:rsidRDefault="00CF2A20" w:rsidP="00CF2A20">
      <w:pPr>
        <w:spacing w:after="0" w:line="240" w:lineRule="auto"/>
        <w:rPr>
          <w:rFonts w:eastAsia="Times New Roman" w:cs="Times New Roman"/>
          <w:kern w:val="0"/>
          <w14:ligatures w14:val="none"/>
        </w:rPr>
      </w:pPr>
      <w:r w:rsidRPr="001A00F9">
        <w:rPr>
          <w:rFonts w:eastAsia="Times New Roman" w:cs="Times New Roman"/>
          <w:kern w:val="0"/>
          <w14:ligatures w14:val="none"/>
        </w:rPr>
        <w:t xml:space="preserve">Most federal tax refunds are issued within 21 days of electronic filing with direct deposit, or about 6-8 weeks for paper returns. For the 2026 season, early filers may receive funds by mid-February. The average </w:t>
      </w:r>
      <w:r w:rsidR="00B25529" w:rsidRPr="001A00F9">
        <w:rPr>
          <w:rFonts w:eastAsia="Times New Roman" w:cs="Times New Roman"/>
          <w:kern w:val="0"/>
          <w14:ligatures w14:val="none"/>
        </w:rPr>
        <w:t>refund</w:t>
      </w:r>
      <w:r w:rsidRPr="001A00F9">
        <w:rPr>
          <w:rFonts w:eastAsia="Times New Roman" w:cs="Times New Roman"/>
          <w:kern w:val="0"/>
          <w14:ligatures w14:val="none"/>
        </w:rPr>
        <w:t xml:space="preserve"> is estimated </w:t>
      </w:r>
      <w:r w:rsidR="00BC02C1" w:rsidRPr="001A00F9">
        <w:rPr>
          <w:rFonts w:eastAsia="Times New Roman" w:cs="Times New Roman"/>
          <w:kern w:val="0"/>
          <w14:ligatures w14:val="none"/>
        </w:rPr>
        <w:t>to</w:t>
      </w:r>
      <w:r w:rsidRPr="001A00F9">
        <w:rPr>
          <w:rFonts w:eastAsia="Times New Roman" w:cs="Times New Roman"/>
          <w:kern w:val="0"/>
          <w14:ligatures w14:val="none"/>
        </w:rPr>
        <w:t xml:space="preserve"> be over $4,000 this year and even higher for those </w:t>
      </w:r>
      <w:r w:rsidR="00B25529" w:rsidRPr="001A00F9">
        <w:rPr>
          <w:rFonts w:eastAsia="Times New Roman" w:cs="Times New Roman"/>
          <w:kern w:val="0"/>
          <w14:ligatures w14:val="none"/>
        </w:rPr>
        <w:t>benefiting</w:t>
      </w:r>
      <w:r w:rsidRPr="001A00F9">
        <w:rPr>
          <w:rFonts w:eastAsia="Times New Roman" w:cs="Times New Roman"/>
          <w:kern w:val="0"/>
          <w14:ligatures w14:val="none"/>
        </w:rPr>
        <w:t xml:space="preserve"> from the New &amp; Expanded Credits:</w:t>
      </w:r>
    </w:p>
    <w:p w14:paraId="4F5EBA19" w14:textId="77777777" w:rsidR="00CF2A20" w:rsidRPr="001A00F9" w:rsidRDefault="00CF2A20" w:rsidP="00CF2A20">
      <w:pPr>
        <w:numPr>
          <w:ilvl w:val="0"/>
          <w:numId w:val="1"/>
        </w:numPr>
        <w:spacing w:before="100" w:beforeAutospacing="1" w:after="100" w:afterAutospacing="1" w:line="240" w:lineRule="auto"/>
        <w:rPr>
          <w:rFonts w:eastAsia="Times New Roman" w:cs="Times New Roman"/>
          <w:kern w:val="0"/>
          <w14:ligatures w14:val="none"/>
        </w:rPr>
      </w:pPr>
      <w:r w:rsidRPr="001A00F9">
        <w:rPr>
          <w:rFonts w:eastAsia="Times New Roman" w:cs="Times New Roman"/>
          <w:b/>
          <w:bCs/>
          <w:kern w:val="0"/>
          <w14:ligatures w14:val="none"/>
        </w:rPr>
        <w:t>Child Tax Credit:</w:t>
      </w:r>
      <w:r w:rsidRPr="001A00F9">
        <w:rPr>
          <w:rFonts w:eastAsia="Times New Roman" w:cs="Times New Roman"/>
          <w:kern w:val="0"/>
          <w14:ligatures w14:val="none"/>
        </w:rPr>
        <w:t xml:space="preserve"> Increased to </w:t>
      </w:r>
      <w:r w:rsidRPr="001A00F9">
        <w:rPr>
          <w:rFonts w:eastAsia="Times New Roman" w:cs="Times New Roman"/>
          <w:b/>
          <w:bCs/>
          <w:kern w:val="0"/>
          <w14:ligatures w14:val="none"/>
        </w:rPr>
        <w:t>$2,200 per child</w:t>
      </w:r>
      <w:r w:rsidRPr="001A00F9">
        <w:rPr>
          <w:rFonts w:eastAsia="Times New Roman" w:cs="Times New Roman"/>
          <w:kern w:val="0"/>
          <w14:ligatures w14:val="none"/>
        </w:rPr>
        <w:t>.</w:t>
      </w:r>
    </w:p>
    <w:p w14:paraId="00163D48" w14:textId="77777777" w:rsidR="00CF2A20" w:rsidRPr="001A00F9" w:rsidRDefault="00CF2A20" w:rsidP="00CF2A20">
      <w:pPr>
        <w:numPr>
          <w:ilvl w:val="0"/>
          <w:numId w:val="1"/>
        </w:numPr>
        <w:spacing w:before="100" w:beforeAutospacing="1" w:after="100" w:afterAutospacing="1" w:line="240" w:lineRule="auto"/>
        <w:rPr>
          <w:rFonts w:eastAsia="Times New Roman" w:cs="Times New Roman"/>
          <w:kern w:val="0"/>
          <w14:ligatures w14:val="none"/>
        </w:rPr>
      </w:pPr>
      <w:r w:rsidRPr="001A00F9">
        <w:rPr>
          <w:rFonts w:eastAsia="Times New Roman" w:cs="Times New Roman"/>
          <w:b/>
          <w:bCs/>
          <w:kern w:val="0"/>
          <w14:ligatures w14:val="none"/>
        </w:rPr>
        <w:t>Standard Deduction:</w:t>
      </w:r>
      <w:r w:rsidRPr="001A00F9">
        <w:rPr>
          <w:rFonts w:eastAsia="Times New Roman" w:cs="Times New Roman"/>
          <w:kern w:val="0"/>
          <w14:ligatures w14:val="none"/>
        </w:rPr>
        <w:t xml:space="preserve"> Boosted for inflation and legislation, rising to </w:t>
      </w:r>
      <w:r w:rsidRPr="001A00F9">
        <w:rPr>
          <w:rFonts w:eastAsia="Times New Roman" w:cs="Times New Roman"/>
          <w:b/>
          <w:bCs/>
          <w:kern w:val="0"/>
          <w14:ligatures w14:val="none"/>
        </w:rPr>
        <w:t>$31,500</w:t>
      </w:r>
      <w:r w:rsidRPr="001A00F9">
        <w:rPr>
          <w:rFonts w:eastAsia="Times New Roman" w:cs="Times New Roman"/>
          <w:kern w:val="0"/>
          <w14:ligatures w14:val="none"/>
        </w:rPr>
        <w:t xml:space="preserve"> for married couples.</w:t>
      </w:r>
    </w:p>
    <w:p w14:paraId="7039B1B8" w14:textId="77777777" w:rsidR="00CF2A20" w:rsidRPr="001A00F9" w:rsidRDefault="00CF2A20" w:rsidP="00CF2A20">
      <w:pPr>
        <w:numPr>
          <w:ilvl w:val="0"/>
          <w:numId w:val="1"/>
        </w:numPr>
        <w:spacing w:before="100" w:beforeAutospacing="1" w:after="100" w:afterAutospacing="1" w:line="240" w:lineRule="auto"/>
        <w:rPr>
          <w:rFonts w:eastAsia="Times New Roman" w:cs="Times New Roman"/>
          <w:kern w:val="0"/>
          <w14:ligatures w14:val="none"/>
        </w:rPr>
      </w:pPr>
      <w:r w:rsidRPr="001A00F9">
        <w:rPr>
          <w:rFonts w:eastAsia="Times New Roman" w:cs="Times New Roman"/>
          <w:b/>
          <w:bCs/>
          <w:kern w:val="0"/>
          <w14:ligatures w14:val="none"/>
        </w:rPr>
        <w:t>New Deductions:</w:t>
      </w:r>
      <w:r w:rsidRPr="001A00F9">
        <w:rPr>
          <w:rFonts w:eastAsia="Times New Roman" w:cs="Times New Roman"/>
          <w:kern w:val="0"/>
          <w14:ligatures w14:val="none"/>
        </w:rPr>
        <w:t xml:space="preserve"> New tax breaks were added for </w:t>
      </w:r>
      <w:r w:rsidRPr="001A00F9">
        <w:rPr>
          <w:rFonts w:eastAsia="Times New Roman" w:cs="Times New Roman"/>
          <w:b/>
          <w:bCs/>
          <w:kern w:val="0"/>
          <w14:ligatures w14:val="none"/>
        </w:rPr>
        <w:t>tips, overtime pay</w:t>
      </w:r>
      <w:r w:rsidRPr="001A00F9">
        <w:rPr>
          <w:rFonts w:eastAsia="Times New Roman" w:cs="Times New Roman"/>
          <w:kern w:val="0"/>
          <w14:ligatures w14:val="none"/>
        </w:rPr>
        <w:t xml:space="preserve">, American-made </w:t>
      </w:r>
      <w:r w:rsidRPr="001A00F9">
        <w:rPr>
          <w:rFonts w:eastAsia="Times New Roman" w:cs="Times New Roman"/>
          <w:b/>
          <w:bCs/>
          <w:kern w:val="0"/>
          <w14:ligatures w14:val="none"/>
        </w:rPr>
        <w:t>car loan interest</w:t>
      </w:r>
      <w:r w:rsidRPr="001A00F9">
        <w:rPr>
          <w:rFonts w:eastAsia="Times New Roman" w:cs="Times New Roman"/>
          <w:kern w:val="0"/>
          <w14:ligatures w14:val="none"/>
        </w:rPr>
        <w:t xml:space="preserve">, and a special </w:t>
      </w:r>
      <w:r w:rsidRPr="001A00F9">
        <w:rPr>
          <w:rFonts w:eastAsia="Times New Roman" w:cs="Times New Roman"/>
          <w:b/>
          <w:bCs/>
          <w:kern w:val="0"/>
          <w14:ligatures w14:val="none"/>
        </w:rPr>
        <w:t>$6,000 deduction for seniors</w:t>
      </w:r>
      <w:r w:rsidRPr="001A00F9">
        <w:rPr>
          <w:rFonts w:eastAsia="Times New Roman" w:cs="Times New Roman"/>
          <w:kern w:val="0"/>
          <w14:ligatures w14:val="none"/>
        </w:rPr>
        <w:t>.</w:t>
      </w:r>
    </w:p>
    <w:p w14:paraId="7063D362" w14:textId="77777777" w:rsidR="00CF2A20" w:rsidRPr="001A00F9" w:rsidRDefault="00CF2A20" w:rsidP="00CF2A20">
      <w:pPr>
        <w:numPr>
          <w:ilvl w:val="0"/>
          <w:numId w:val="1"/>
        </w:numPr>
        <w:spacing w:before="100" w:beforeAutospacing="1" w:after="100" w:afterAutospacing="1" w:line="240" w:lineRule="auto"/>
        <w:rPr>
          <w:rFonts w:eastAsia="Times New Roman" w:cs="Times New Roman"/>
          <w:kern w:val="0"/>
          <w14:ligatures w14:val="none"/>
        </w:rPr>
      </w:pPr>
      <w:r w:rsidRPr="001A00F9">
        <w:rPr>
          <w:rFonts w:eastAsia="Times New Roman" w:cs="Times New Roman"/>
          <w:b/>
          <w:bCs/>
          <w:kern w:val="0"/>
          <w14:ligatures w14:val="none"/>
        </w:rPr>
        <w:t>SALT Cap Increase:</w:t>
      </w:r>
      <w:r w:rsidRPr="001A00F9">
        <w:rPr>
          <w:rFonts w:eastAsia="Times New Roman" w:cs="Times New Roman"/>
          <w:kern w:val="0"/>
          <w14:ligatures w14:val="none"/>
        </w:rPr>
        <w:t xml:space="preserve"> The state and local tax deduction cap was raised from $10,000 to </w:t>
      </w:r>
      <w:r w:rsidRPr="001A00F9">
        <w:rPr>
          <w:rFonts w:eastAsia="Times New Roman" w:cs="Times New Roman"/>
          <w:b/>
          <w:bCs/>
          <w:kern w:val="0"/>
          <w14:ligatures w14:val="none"/>
        </w:rPr>
        <w:t>$40,000</w:t>
      </w:r>
      <w:r w:rsidRPr="001A00F9">
        <w:rPr>
          <w:rFonts w:eastAsia="Times New Roman" w:cs="Times New Roman"/>
          <w:kern w:val="0"/>
          <w14:ligatures w14:val="none"/>
        </w:rPr>
        <w:t xml:space="preserve"> for eligible households.</w:t>
      </w:r>
    </w:p>
    <w:p w14:paraId="551C930B" w14:textId="47FE7A3E" w:rsidR="00F611C7" w:rsidRPr="001A00F9" w:rsidRDefault="007C3DE4" w:rsidP="007C3DE4">
      <w:pPr>
        <w:spacing w:after="0" w:line="240" w:lineRule="auto"/>
        <w:rPr>
          <w:rFonts w:eastAsia="Times New Roman" w:cs="Times New Roman"/>
          <w:kern w:val="0"/>
          <w14:ligatures w14:val="none"/>
        </w:rPr>
      </w:pPr>
      <w:r w:rsidRPr="001A00F9">
        <w:rPr>
          <w:rFonts w:eastAsia="Times New Roman" w:cs="Times New Roman"/>
          <w:kern w:val="0"/>
          <w14:ligatures w14:val="none"/>
        </w:rPr>
        <w:t xml:space="preserve">Americans have more money to spend in 2026 due to a combination of </w:t>
      </w:r>
      <w:r w:rsidRPr="001A00F9">
        <w:rPr>
          <w:rFonts w:eastAsia="Times New Roman" w:cs="Times New Roman"/>
          <w:b/>
          <w:bCs/>
          <w:kern w:val="0"/>
          <w14:ligatures w14:val="none"/>
        </w:rPr>
        <w:t>major tax policy changes</w:t>
      </w:r>
      <w:r w:rsidRPr="001A00F9">
        <w:rPr>
          <w:rFonts w:eastAsia="Times New Roman" w:cs="Times New Roman"/>
          <w:kern w:val="0"/>
          <w14:ligatures w14:val="none"/>
        </w:rPr>
        <w:t xml:space="preserve">, </w:t>
      </w:r>
      <w:r w:rsidRPr="001A00F9">
        <w:rPr>
          <w:rFonts w:eastAsia="Times New Roman" w:cs="Times New Roman"/>
          <w:b/>
          <w:bCs/>
          <w:kern w:val="0"/>
          <w14:ligatures w14:val="none"/>
        </w:rPr>
        <w:t>rising real wages</w:t>
      </w:r>
      <w:r w:rsidRPr="001A00F9">
        <w:rPr>
          <w:rFonts w:eastAsia="Times New Roman" w:cs="Times New Roman"/>
          <w:kern w:val="0"/>
          <w14:ligatures w14:val="none"/>
        </w:rPr>
        <w:t xml:space="preserve">, and </w:t>
      </w:r>
      <w:r w:rsidRPr="001A00F9">
        <w:rPr>
          <w:rFonts w:eastAsia="Times New Roman" w:cs="Times New Roman"/>
          <w:b/>
          <w:bCs/>
          <w:kern w:val="0"/>
          <w14:ligatures w14:val="none"/>
        </w:rPr>
        <w:t>record household wealth</w:t>
      </w:r>
      <w:r w:rsidR="00757D09" w:rsidRPr="001A00F9">
        <w:rPr>
          <w:rFonts w:eastAsia="Times New Roman" w:cs="Times New Roman"/>
          <w:kern w:val="0"/>
          <w14:ligatures w14:val="none"/>
        </w:rPr>
        <w:t xml:space="preserve">, surpassing $180 trillion </w:t>
      </w:r>
      <w:r w:rsidR="005C6E4D" w:rsidRPr="001A00F9">
        <w:rPr>
          <w:rFonts w:eastAsia="Times New Roman" w:cs="Times New Roman"/>
          <w:kern w:val="0"/>
          <w14:ligatures w14:val="none"/>
        </w:rPr>
        <w:t>due to the rising stock market and stable house prices.</w:t>
      </w:r>
    </w:p>
    <w:p w14:paraId="6D3418B4" w14:textId="77777777" w:rsidR="00757D09" w:rsidRPr="001A00F9" w:rsidRDefault="00757D09" w:rsidP="007C3DE4">
      <w:pPr>
        <w:spacing w:after="0" w:line="240" w:lineRule="auto"/>
        <w:rPr>
          <w:rFonts w:eastAsia="Times New Roman" w:cs="Times New Roman"/>
          <w:b/>
          <w:bCs/>
          <w:kern w:val="0"/>
          <w14:ligatures w14:val="none"/>
        </w:rPr>
      </w:pPr>
    </w:p>
    <w:p w14:paraId="01D69636" w14:textId="6EE2183C" w:rsidR="00757D09" w:rsidRPr="001A00F9" w:rsidRDefault="00757D09" w:rsidP="007C3DE4">
      <w:pPr>
        <w:spacing w:after="0" w:line="240" w:lineRule="auto"/>
        <w:rPr>
          <w:rFonts w:eastAsia="Times New Roman" w:cs="Times New Roman"/>
          <w:kern w:val="0"/>
          <w14:ligatures w14:val="none"/>
        </w:rPr>
      </w:pPr>
      <w:r w:rsidRPr="001A00F9">
        <w:rPr>
          <w:rFonts w:eastAsia="Times New Roman" w:cs="Times New Roman"/>
          <w:b/>
          <w:bCs/>
          <w:kern w:val="0"/>
          <w14:ligatures w14:val="none"/>
        </w:rPr>
        <w:t xml:space="preserve">Also, </w:t>
      </w:r>
      <w:r w:rsidRPr="001A00F9">
        <w:t xml:space="preserve">energy prices have dropped significantly, with </w:t>
      </w:r>
      <w:r w:rsidRPr="001A00F9">
        <w:rPr>
          <w:rStyle w:val="Strong"/>
        </w:rPr>
        <w:t>gas prices</w:t>
      </w:r>
      <w:r w:rsidRPr="001A00F9">
        <w:t xml:space="preserve"> falling below $3 per gallon in 43 states and below $2 in 19 states, freeing up more monthly disposable income for other expenses.</w:t>
      </w:r>
    </w:p>
    <w:p w14:paraId="3039DE3A" w14:textId="77777777" w:rsidR="00CF2A20" w:rsidRPr="001A00F9" w:rsidRDefault="00CF2A20" w:rsidP="0036046F">
      <w:pPr>
        <w:pStyle w:val="NoSpacing"/>
      </w:pPr>
    </w:p>
    <w:p w14:paraId="5855A0D3" w14:textId="2F4906DD" w:rsidR="00242FFB" w:rsidRPr="00AF0397" w:rsidRDefault="00AF0397" w:rsidP="0036046F">
      <w:pPr>
        <w:pStyle w:val="NoSpacing"/>
        <w:rPr>
          <w:b/>
          <w:bCs/>
          <w:color w:val="EE0000"/>
        </w:rPr>
      </w:pPr>
      <w:r w:rsidRPr="00AF0397">
        <w:rPr>
          <w:b/>
          <w:bCs/>
          <w:color w:val="EE0000"/>
        </w:rPr>
        <w:t>The Nexa Process</w:t>
      </w:r>
      <w:r w:rsidR="00270B48" w:rsidRPr="00AF0397">
        <w:rPr>
          <w:b/>
          <w:bCs/>
          <w:color w:val="EE0000"/>
        </w:rPr>
        <w:t xml:space="preserve">: </w:t>
      </w:r>
      <w:r w:rsidR="00DB41F2">
        <w:rPr>
          <w:b/>
          <w:bCs/>
          <w:color w:val="EE0000"/>
        </w:rPr>
        <w:t xml:space="preserve"> Nexa manages </w:t>
      </w:r>
      <w:r w:rsidR="002D3D2D">
        <w:rPr>
          <w:b/>
          <w:bCs/>
          <w:color w:val="EE0000"/>
        </w:rPr>
        <w:t xml:space="preserve">investor </w:t>
      </w:r>
      <w:r w:rsidR="00DB41F2">
        <w:rPr>
          <w:b/>
          <w:bCs/>
          <w:color w:val="EE0000"/>
        </w:rPr>
        <w:t xml:space="preserve">returns </w:t>
      </w:r>
      <w:r w:rsidR="008966B3">
        <w:rPr>
          <w:b/>
          <w:bCs/>
          <w:color w:val="EE0000"/>
        </w:rPr>
        <w:t>through a strategy of</w:t>
      </w:r>
      <w:r w:rsidR="00DB41F2">
        <w:rPr>
          <w:b/>
          <w:bCs/>
          <w:color w:val="EE0000"/>
        </w:rPr>
        <w:t xml:space="preserve"> fine</w:t>
      </w:r>
      <w:r w:rsidR="00774883">
        <w:rPr>
          <w:b/>
          <w:bCs/>
          <w:color w:val="EE0000"/>
        </w:rPr>
        <w:t>-</w:t>
      </w:r>
      <w:r w:rsidR="00DB41F2">
        <w:rPr>
          <w:b/>
          <w:bCs/>
          <w:color w:val="EE0000"/>
        </w:rPr>
        <w:t xml:space="preserve">tuning </w:t>
      </w:r>
      <w:r w:rsidR="00A86036">
        <w:rPr>
          <w:b/>
          <w:bCs/>
          <w:color w:val="EE0000"/>
        </w:rPr>
        <w:t xml:space="preserve">settlement and payment plan strategies based </w:t>
      </w:r>
      <w:r w:rsidR="008966B3">
        <w:rPr>
          <w:b/>
          <w:bCs/>
          <w:color w:val="EE0000"/>
        </w:rPr>
        <w:t>on a consumer’s ability to pay.</w:t>
      </w:r>
      <w:r w:rsidR="00A86036">
        <w:rPr>
          <w:b/>
          <w:bCs/>
          <w:color w:val="EE0000"/>
        </w:rPr>
        <w:t xml:space="preserve"> </w:t>
      </w:r>
    </w:p>
    <w:p w14:paraId="20732CBC" w14:textId="15A3AF01" w:rsidR="002A3B1A" w:rsidRPr="00AF0397" w:rsidRDefault="00DB1A99" w:rsidP="002A3B1A">
      <w:pPr>
        <w:pStyle w:val="NoSpacing"/>
        <w:numPr>
          <w:ilvl w:val="0"/>
          <w:numId w:val="2"/>
        </w:numPr>
        <w:rPr>
          <w:color w:val="EE0000"/>
        </w:rPr>
      </w:pPr>
      <w:r w:rsidRPr="00AF0397">
        <w:rPr>
          <w:color w:val="EE0000"/>
        </w:rPr>
        <w:t>100% of i</w:t>
      </w:r>
      <w:r w:rsidR="002A3B1A" w:rsidRPr="00AF0397">
        <w:rPr>
          <w:color w:val="EE0000"/>
        </w:rPr>
        <w:t xml:space="preserve">nvestor capital </w:t>
      </w:r>
      <w:r w:rsidR="00CF1A55" w:rsidRPr="00AF0397">
        <w:rPr>
          <w:color w:val="EE0000"/>
        </w:rPr>
        <w:t>is estimated</w:t>
      </w:r>
      <w:r w:rsidR="002A3B1A" w:rsidRPr="00AF0397">
        <w:rPr>
          <w:color w:val="EE0000"/>
        </w:rPr>
        <w:t xml:space="preserve"> to be returned by Month 15.</w:t>
      </w:r>
    </w:p>
    <w:p w14:paraId="7D87DE8B" w14:textId="404C08AE" w:rsidR="002A3B1A" w:rsidRPr="00AF0397" w:rsidRDefault="00CF1A55" w:rsidP="002A3B1A">
      <w:pPr>
        <w:pStyle w:val="NoSpacing"/>
        <w:numPr>
          <w:ilvl w:val="1"/>
          <w:numId w:val="2"/>
        </w:numPr>
        <w:rPr>
          <w:color w:val="EE0000"/>
        </w:rPr>
      </w:pPr>
      <w:r w:rsidRPr="00AF0397">
        <w:rPr>
          <w:color w:val="EE0000"/>
        </w:rPr>
        <w:t>Investors receive</w:t>
      </w:r>
      <w:r w:rsidR="002A3B1A" w:rsidRPr="00AF0397">
        <w:rPr>
          <w:color w:val="EE0000"/>
        </w:rPr>
        <w:t xml:space="preserve"> net cashflows monthly starting in Month 2.</w:t>
      </w:r>
    </w:p>
    <w:p w14:paraId="607167D1" w14:textId="77777777" w:rsidR="002A3B1A" w:rsidRPr="00AF0397" w:rsidRDefault="002A3B1A" w:rsidP="002A3B1A">
      <w:pPr>
        <w:pStyle w:val="NoSpacing"/>
        <w:numPr>
          <w:ilvl w:val="0"/>
          <w:numId w:val="2"/>
        </w:numPr>
        <w:rPr>
          <w:color w:val="EE0000"/>
        </w:rPr>
      </w:pPr>
      <w:r w:rsidRPr="00AF0397">
        <w:rPr>
          <w:color w:val="EE0000"/>
        </w:rPr>
        <w:t>Total return estimated at 167% by the end of Month 36.</w:t>
      </w:r>
    </w:p>
    <w:p w14:paraId="0FDBC3F2" w14:textId="121E6B0D" w:rsidR="00270B48" w:rsidRDefault="00270B48" w:rsidP="002A3B1A">
      <w:pPr>
        <w:pStyle w:val="NoSpacing"/>
        <w:rPr>
          <w:sz w:val="20"/>
          <w:szCs w:val="20"/>
        </w:rPr>
      </w:pPr>
    </w:p>
    <w:p w14:paraId="0865CA73" w14:textId="77777777" w:rsidR="002A10DD" w:rsidRDefault="002A10DD" w:rsidP="002A3B1A">
      <w:pPr>
        <w:pStyle w:val="NoSpacing"/>
        <w:rPr>
          <w:sz w:val="20"/>
          <w:szCs w:val="20"/>
        </w:rPr>
      </w:pPr>
    </w:p>
    <w:p w14:paraId="53DFEC09" w14:textId="77777777" w:rsidR="001A00F9" w:rsidRDefault="001A00F9" w:rsidP="002A3B1A">
      <w:pPr>
        <w:pStyle w:val="NoSpacing"/>
        <w:rPr>
          <w:sz w:val="20"/>
          <w:szCs w:val="20"/>
        </w:rPr>
      </w:pPr>
    </w:p>
    <w:p w14:paraId="4B8FCE91" w14:textId="77777777" w:rsidR="001A00F9" w:rsidRDefault="001A00F9" w:rsidP="002A3B1A">
      <w:pPr>
        <w:pStyle w:val="NoSpacing"/>
        <w:rPr>
          <w:sz w:val="20"/>
          <w:szCs w:val="20"/>
        </w:rPr>
      </w:pPr>
    </w:p>
    <w:p w14:paraId="1DE936A1" w14:textId="375A4AED" w:rsidR="002A10DD" w:rsidRPr="001A00F9" w:rsidRDefault="00ED4B4A" w:rsidP="002A3B1A">
      <w:pPr>
        <w:pStyle w:val="NoSpacing"/>
        <w:rPr>
          <w:b/>
          <w:bCs/>
        </w:rPr>
      </w:pPr>
      <w:r w:rsidRPr="001A00F9">
        <w:rPr>
          <w:b/>
          <w:bCs/>
        </w:rPr>
        <w:t xml:space="preserve">As shown in the Portfolio Trending Chart below, </w:t>
      </w:r>
      <w:r w:rsidR="001A00F9" w:rsidRPr="001A00F9">
        <w:rPr>
          <w:b/>
          <w:bCs/>
        </w:rPr>
        <w:t xml:space="preserve">all portfolios are on </w:t>
      </w:r>
      <w:r w:rsidR="00CF1A55" w:rsidRPr="001A00F9">
        <w:rPr>
          <w:b/>
          <w:bCs/>
        </w:rPr>
        <w:t>track</w:t>
      </w:r>
      <w:r w:rsidR="001A00F9" w:rsidRPr="001A00F9">
        <w:rPr>
          <w:b/>
          <w:bCs/>
        </w:rPr>
        <w:t xml:space="preserve"> with our </w:t>
      </w:r>
      <w:r w:rsidR="00CF1A55">
        <w:rPr>
          <w:b/>
          <w:bCs/>
        </w:rPr>
        <w:t xml:space="preserve">original </w:t>
      </w:r>
      <w:r w:rsidR="001A00F9" w:rsidRPr="001A00F9">
        <w:rPr>
          <w:b/>
          <w:bCs/>
        </w:rPr>
        <w:t>targets</w:t>
      </w:r>
      <w:r w:rsidR="00BD7A61">
        <w:rPr>
          <w:b/>
          <w:bCs/>
        </w:rPr>
        <w:t xml:space="preserve"> of returning </w:t>
      </w:r>
      <w:r w:rsidR="00DD08EE">
        <w:rPr>
          <w:b/>
          <w:bCs/>
        </w:rPr>
        <w:t>capital in 15 months and then producing a profit of 67% to 110% by the 36</w:t>
      </w:r>
      <w:r w:rsidR="00DD08EE" w:rsidRPr="00DD08EE">
        <w:rPr>
          <w:b/>
          <w:bCs/>
          <w:vertAlign w:val="superscript"/>
        </w:rPr>
        <w:t>th</w:t>
      </w:r>
      <w:r w:rsidR="00DD08EE">
        <w:rPr>
          <w:b/>
          <w:bCs/>
        </w:rPr>
        <w:t xml:space="preserve"> month</w:t>
      </w:r>
      <w:r w:rsidR="001A00F9" w:rsidRPr="001A00F9">
        <w:rPr>
          <w:b/>
          <w:bCs/>
        </w:rPr>
        <w:t xml:space="preserve">: </w:t>
      </w:r>
    </w:p>
    <w:p w14:paraId="643C671D" w14:textId="77777777" w:rsidR="002A10DD" w:rsidRDefault="002A10DD" w:rsidP="002A3B1A">
      <w:pPr>
        <w:pStyle w:val="NoSpacing"/>
        <w:rPr>
          <w:sz w:val="20"/>
          <w:szCs w:val="20"/>
        </w:rPr>
      </w:pPr>
    </w:p>
    <w:p w14:paraId="759EA925" w14:textId="036365D6" w:rsidR="002A10DD" w:rsidRDefault="00DB1A99" w:rsidP="00DB1A99">
      <w:pPr>
        <w:pStyle w:val="NoSpacing"/>
        <w:jc w:val="center"/>
        <w:rPr>
          <w:sz w:val="20"/>
          <w:szCs w:val="20"/>
        </w:rPr>
      </w:pPr>
      <w:r w:rsidRPr="00DB1A99">
        <w:rPr>
          <w:noProof/>
          <w:sz w:val="20"/>
          <w:szCs w:val="20"/>
        </w:rPr>
        <w:drawing>
          <wp:inline distT="0" distB="0" distL="0" distR="0" wp14:anchorId="1746741F" wp14:editId="1CB943DF">
            <wp:extent cx="4819650" cy="3616797"/>
            <wp:effectExtent l="0" t="0" r="0" b="3175"/>
            <wp:docPr id="1090345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45573" name=""/>
                    <pic:cNvPicPr/>
                  </pic:nvPicPr>
                  <pic:blipFill>
                    <a:blip r:embed="rId12"/>
                    <a:stretch>
                      <a:fillRect/>
                    </a:stretch>
                  </pic:blipFill>
                  <pic:spPr>
                    <a:xfrm>
                      <a:off x="0" y="0"/>
                      <a:ext cx="4864070" cy="3650131"/>
                    </a:xfrm>
                    <a:prstGeom prst="rect">
                      <a:avLst/>
                    </a:prstGeom>
                  </pic:spPr>
                </pic:pic>
              </a:graphicData>
            </a:graphic>
          </wp:inline>
        </w:drawing>
      </w:r>
    </w:p>
    <w:p w14:paraId="56304A74" w14:textId="77777777" w:rsidR="000B7AE2" w:rsidRDefault="000B7AE2" w:rsidP="0036046F">
      <w:pPr>
        <w:pStyle w:val="NoSpacing"/>
        <w:rPr>
          <w:sz w:val="20"/>
          <w:szCs w:val="20"/>
        </w:rPr>
      </w:pPr>
    </w:p>
    <w:p w14:paraId="51B18749" w14:textId="07FFC3E4" w:rsidR="002D3D2D" w:rsidRPr="000B7AE2" w:rsidRDefault="00407B08" w:rsidP="0036046F">
      <w:pPr>
        <w:pStyle w:val="NoSpacing"/>
        <w:rPr>
          <w:color w:val="000000" w:themeColor="text1"/>
        </w:rPr>
      </w:pPr>
      <w:r>
        <w:rPr>
          <w:rFonts w:eastAsia="Times New Roman" w:cs="Times New Roman"/>
        </w:rPr>
        <w:t>Nexa</w:t>
      </w:r>
      <w:r w:rsidR="000B7AE2">
        <w:rPr>
          <w:rFonts w:eastAsia="Times New Roman" w:cs="Times New Roman"/>
        </w:rPr>
        <w:t xml:space="preserve"> is </w:t>
      </w:r>
      <w:r w:rsidR="003B53B4">
        <w:rPr>
          <w:rFonts w:eastAsia="Times New Roman" w:cs="Times New Roman"/>
        </w:rPr>
        <w:t xml:space="preserve">a </w:t>
      </w:r>
      <w:r w:rsidR="000B7AE2">
        <w:rPr>
          <w:rFonts w:eastAsia="Times New Roman" w:cs="Times New Roman"/>
        </w:rPr>
        <w:t xml:space="preserve">fully </w:t>
      </w:r>
      <w:r w:rsidR="00432476">
        <w:rPr>
          <w:rFonts w:eastAsia="Times New Roman" w:cs="Times New Roman"/>
        </w:rPr>
        <w:t xml:space="preserve">licensed </w:t>
      </w:r>
      <w:r w:rsidR="003B53B4">
        <w:rPr>
          <w:rFonts w:eastAsia="Times New Roman" w:cs="Times New Roman"/>
        </w:rPr>
        <w:t>Debt Buyer</w:t>
      </w:r>
      <w:r w:rsidR="000B5BD9">
        <w:rPr>
          <w:rFonts w:eastAsia="Times New Roman" w:cs="Times New Roman"/>
        </w:rPr>
        <w:t>,</w:t>
      </w:r>
      <w:r w:rsidR="003B53B4">
        <w:rPr>
          <w:rFonts w:eastAsia="Times New Roman" w:cs="Times New Roman"/>
        </w:rPr>
        <w:t xml:space="preserve"> </w:t>
      </w:r>
      <w:r w:rsidR="000B7AE2">
        <w:rPr>
          <w:rFonts w:eastAsia="Times New Roman" w:cs="Times New Roman"/>
        </w:rPr>
        <w:t>in c</w:t>
      </w:r>
      <w:r w:rsidR="000B7AE2" w:rsidRPr="000B7AE2">
        <w:rPr>
          <w:rFonts w:eastAsia="Times New Roman" w:cs="Times New Roman"/>
        </w:rPr>
        <w:t xml:space="preserve">ompliance with </w:t>
      </w:r>
      <w:r w:rsidR="000B7AE2">
        <w:rPr>
          <w:rFonts w:eastAsia="Times New Roman" w:cs="Times New Roman"/>
        </w:rPr>
        <w:t xml:space="preserve">all </w:t>
      </w:r>
      <w:r w:rsidR="000B7AE2" w:rsidRPr="000B7AE2">
        <w:rPr>
          <w:rFonts w:eastAsia="Times New Roman" w:cs="Times New Roman"/>
        </w:rPr>
        <w:t>FDCPA</w:t>
      </w:r>
      <w:r w:rsidR="000B7AE2">
        <w:rPr>
          <w:rFonts w:eastAsia="Times New Roman" w:cs="Times New Roman"/>
        </w:rPr>
        <w:t>,</w:t>
      </w:r>
      <w:r w:rsidR="000B7AE2" w:rsidRPr="000B7AE2">
        <w:rPr>
          <w:rFonts w:eastAsia="Times New Roman" w:cs="Times New Roman"/>
        </w:rPr>
        <w:t xml:space="preserve"> CFPB </w:t>
      </w:r>
      <w:r w:rsidR="000B7AE2">
        <w:rPr>
          <w:rFonts w:eastAsia="Times New Roman" w:cs="Times New Roman"/>
        </w:rPr>
        <w:t xml:space="preserve">and state </w:t>
      </w:r>
      <w:r w:rsidR="000B7AE2" w:rsidRPr="000B7AE2">
        <w:rPr>
          <w:rFonts w:eastAsia="Times New Roman" w:cs="Times New Roman"/>
        </w:rPr>
        <w:t>regulations</w:t>
      </w:r>
      <w:r w:rsidR="003B53B4">
        <w:rPr>
          <w:rFonts w:eastAsia="Times New Roman" w:cs="Times New Roman"/>
        </w:rPr>
        <w:t>.  Its AI predictive model</w:t>
      </w:r>
      <w:r w:rsidR="00A51A8B">
        <w:rPr>
          <w:rFonts w:eastAsia="Times New Roman" w:cs="Times New Roman"/>
        </w:rPr>
        <w:t xml:space="preserve"> pinpoint</w:t>
      </w:r>
      <w:r w:rsidR="000B5BD9">
        <w:rPr>
          <w:rFonts w:eastAsia="Times New Roman" w:cs="Times New Roman"/>
        </w:rPr>
        <w:t>s</w:t>
      </w:r>
      <w:r w:rsidR="00A51A8B">
        <w:rPr>
          <w:rFonts w:eastAsia="Times New Roman" w:cs="Times New Roman"/>
        </w:rPr>
        <w:t xml:space="preserve"> consumer response </w:t>
      </w:r>
      <w:r w:rsidR="00432476">
        <w:rPr>
          <w:rFonts w:eastAsia="Times New Roman" w:cs="Times New Roman"/>
        </w:rPr>
        <w:t>in 92% of contact</w:t>
      </w:r>
      <w:r w:rsidR="000B5BD9">
        <w:rPr>
          <w:rFonts w:eastAsia="Times New Roman" w:cs="Times New Roman"/>
        </w:rPr>
        <w:t xml:space="preserve"> points</w:t>
      </w:r>
      <w:r w:rsidR="00432476">
        <w:rPr>
          <w:rFonts w:eastAsia="Times New Roman" w:cs="Times New Roman"/>
        </w:rPr>
        <w:t>.</w:t>
      </w:r>
    </w:p>
    <w:p w14:paraId="6C91B082" w14:textId="77777777" w:rsidR="002D3D2D" w:rsidRDefault="002D3D2D" w:rsidP="0036046F">
      <w:pPr>
        <w:pStyle w:val="NoSpacing"/>
        <w:rPr>
          <w:color w:val="000000" w:themeColor="text1"/>
        </w:rPr>
      </w:pPr>
    </w:p>
    <w:p w14:paraId="2F93F995" w14:textId="229FEE9D" w:rsidR="00242FFB" w:rsidRPr="00BD7A61" w:rsidRDefault="00DB1A99" w:rsidP="0036046F">
      <w:pPr>
        <w:pStyle w:val="NoSpacing"/>
        <w:rPr>
          <w:color w:val="000000" w:themeColor="text1"/>
        </w:rPr>
      </w:pPr>
      <w:r w:rsidRPr="00BD7A61">
        <w:rPr>
          <w:color w:val="000000" w:themeColor="text1"/>
        </w:rPr>
        <w:t xml:space="preserve">We look forward to explaining The Nexa Process and discussing how this program may benefit your own portfolio. </w:t>
      </w:r>
    </w:p>
    <w:p w14:paraId="7D1F04AD" w14:textId="77777777" w:rsidR="00BB7771" w:rsidRPr="002D56A6" w:rsidRDefault="00BB7771" w:rsidP="0036046F">
      <w:pPr>
        <w:pStyle w:val="NoSpacing"/>
      </w:pPr>
    </w:p>
    <w:p w14:paraId="32A86A3B" w14:textId="5404D322" w:rsidR="00F611C7" w:rsidRPr="002D56A6" w:rsidRDefault="00266217" w:rsidP="0036046F">
      <w:pPr>
        <w:pStyle w:val="NoSpacing"/>
      </w:pPr>
      <w:r w:rsidRPr="002D56A6">
        <w:t>Kind regards</w:t>
      </w:r>
      <w:r w:rsidR="00F611C7" w:rsidRPr="002D56A6">
        <w:t>,</w:t>
      </w:r>
    </w:p>
    <w:p w14:paraId="174CC8B1" w14:textId="77777777" w:rsidR="00DD3712" w:rsidRPr="002D56A6" w:rsidRDefault="00DD3712" w:rsidP="0036046F">
      <w:pPr>
        <w:pStyle w:val="NoSpacing"/>
      </w:pPr>
    </w:p>
    <w:p w14:paraId="078938EB" w14:textId="365934D6" w:rsidR="00DD3712" w:rsidRPr="002D56A6" w:rsidRDefault="00F611C7" w:rsidP="0036046F">
      <w:pPr>
        <w:pStyle w:val="NoSpacing"/>
      </w:pPr>
      <w:r w:rsidRPr="002D56A6">
        <w:t xml:space="preserve">Peter Bennett </w:t>
      </w:r>
    </w:p>
    <w:p w14:paraId="6FC9B86B" w14:textId="3305FB5F" w:rsidR="00F611C7" w:rsidRPr="002D56A6" w:rsidRDefault="00F611C7" w:rsidP="0036046F">
      <w:pPr>
        <w:pStyle w:val="NoSpacing"/>
      </w:pPr>
      <w:r w:rsidRPr="002D56A6">
        <w:t>CEO</w:t>
      </w:r>
    </w:p>
    <w:p w14:paraId="33207DAF" w14:textId="77BBE4B2" w:rsidR="003E0BCB" w:rsidRDefault="008D3EBA" w:rsidP="00DD3712">
      <w:pPr>
        <w:pStyle w:val="NoSpacing"/>
        <w:rPr>
          <w:sz w:val="22"/>
          <w:szCs w:val="22"/>
        </w:rPr>
      </w:pPr>
      <w:r w:rsidRPr="0036046F">
        <w:rPr>
          <w:sz w:val="22"/>
          <w:szCs w:val="22"/>
        </w:rPr>
        <w:t xml:space="preserve"> </w:t>
      </w:r>
      <w:bookmarkEnd w:id="0"/>
    </w:p>
    <w:p w14:paraId="5F67AA82" w14:textId="77777777" w:rsidR="001F1108" w:rsidRPr="00DD3712" w:rsidRDefault="001F1108" w:rsidP="00DD3712">
      <w:pPr>
        <w:pStyle w:val="NoSpacing"/>
        <w:rPr>
          <w:sz w:val="22"/>
          <w:szCs w:val="22"/>
        </w:rPr>
      </w:pPr>
    </w:p>
    <w:p w14:paraId="5E221AB0" w14:textId="7888CCAA" w:rsidR="0036046F" w:rsidRPr="002D56A6" w:rsidRDefault="0036046F" w:rsidP="002D56A6">
      <w:pPr>
        <w:pStyle w:val="NoSpacing"/>
        <w:rPr>
          <w:noProof/>
          <w:sz w:val="16"/>
          <w:szCs w:val="16"/>
        </w:rPr>
      </w:pPr>
      <w:r w:rsidRPr="002D56A6">
        <w:rPr>
          <w:noProof/>
          <w:sz w:val="16"/>
          <w:szCs w:val="16"/>
        </w:rPr>
        <w:t>DISCLAIMER: Past performance may not be indicative of future results. Therefore, no current or prospective client should assume that future performance of any specific investment or investment strategy (including the investments and/or investment strategies undertaken by Nexa Portfolio Strategies, LLC) made reference to directly or indirectly by Nexa Portfolio Strategies, LLC in its website, or indirectly via a link to an unaffiliated third-party website, will be profitable or equal the corresponding indicated performance level(s). Different types of investments involve varying degrees of risk, and there can be no assurance that any specific investment will either be suitable or profitable for a client or prospective client’s investment portfolio. Historical performance results for investment indices and/or categories generally do not reflect the deduction of transaction and/or custodial charges, the deduction of an investment management fee, nor the impact of taxes, the incurrence of which would have the effect of decreasing historical performance results.</w:t>
      </w:r>
    </w:p>
    <w:p w14:paraId="373615DB" w14:textId="20ADDB44" w:rsidR="0036046F" w:rsidRPr="002D56A6" w:rsidRDefault="0036046F" w:rsidP="002D56A6">
      <w:pPr>
        <w:pStyle w:val="NoSpacing"/>
        <w:rPr>
          <w:noProof/>
          <w:sz w:val="16"/>
          <w:szCs w:val="16"/>
        </w:rPr>
      </w:pPr>
      <w:r w:rsidRPr="002D56A6">
        <w:rPr>
          <w:noProof/>
          <w:sz w:val="16"/>
          <w:szCs w:val="16"/>
        </w:rPr>
        <w:t>Please remember that different types of investments involve varying degrees of risk, and there can be no assurance that the future of any specific investment or investment strategy (including those undertaken by Nexa Portfolio Strategies, LLC) will be profitable or equal any historical performance level(s).</w:t>
      </w:r>
    </w:p>
    <w:sectPr w:rsidR="0036046F" w:rsidRPr="002D56A6" w:rsidSect="00F611C7">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4317" w14:textId="77777777" w:rsidR="001E3F17" w:rsidRDefault="001E3F17" w:rsidP="00BB7771">
      <w:pPr>
        <w:spacing w:after="0" w:line="240" w:lineRule="auto"/>
      </w:pPr>
      <w:r>
        <w:separator/>
      </w:r>
    </w:p>
  </w:endnote>
  <w:endnote w:type="continuationSeparator" w:id="0">
    <w:p w14:paraId="442835F8" w14:textId="77777777" w:rsidR="001E3F17" w:rsidRDefault="001E3F17" w:rsidP="00BB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3816"/>
      <w:docPartObj>
        <w:docPartGallery w:val="Page Numbers (Bottom of Page)"/>
        <w:docPartUnique/>
      </w:docPartObj>
    </w:sdtPr>
    <w:sdtEndPr>
      <w:rPr>
        <w:noProof/>
      </w:rPr>
    </w:sdtEndPr>
    <w:sdtContent>
      <w:p w14:paraId="0BAE1AFE" w14:textId="6602381B" w:rsidR="00BB7771" w:rsidRDefault="00BB77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5E2F60" w14:textId="77777777" w:rsidR="00BB7771" w:rsidRDefault="00BB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DBED" w14:textId="77777777" w:rsidR="001E3F17" w:rsidRDefault="001E3F17" w:rsidP="00BB7771">
      <w:pPr>
        <w:spacing w:after="0" w:line="240" w:lineRule="auto"/>
      </w:pPr>
      <w:r>
        <w:separator/>
      </w:r>
    </w:p>
  </w:footnote>
  <w:footnote w:type="continuationSeparator" w:id="0">
    <w:p w14:paraId="1575D38D" w14:textId="77777777" w:rsidR="001E3F17" w:rsidRDefault="001E3F17" w:rsidP="00BB7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27F5"/>
    <w:multiLevelType w:val="hybridMultilevel"/>
    <w:tmpl w:val="0DE2DF76"/>
    <w:lvl w:ilvl="0" w:tplc="FCCA72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C3437"/>
    <w:multiLevelType w:val="multilevel"/>
    <w:tmpl w:val="5BA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391971">
    <w:abstractNumId w:val="1"/>
  </w:num>
  <w:num w:numId="2" w16cid:durableId="200346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BA"/>
    <w:rsid w:val="0008526A"/>
    <w:rsid w:val="000A1C82"/>
    <w:rsid w:val="000A4FAD"/>
    <w:rsid w:val="000B5BD9"/>
    <w:rsid w:val="000B7AE2"/>
    <w:rsid w:val="00163785"/>
    <w:rsid w:val="00182F21"/>
    <w:rsid w:val="0019091D"/>
    <w:rsid w:val="001A00F9"/>
    <w:rsid w:val="001A7474"/>
    <w:rsid w:val="001C58CA"/>
    <w:rsid w:val="001E3F17"/>
    <w:rsid w:val="001F1108"/>
    <w:rsid w:val="00227BFB"/>
    <w:rsid w:val="00242FFB"/>
    <w:rsid w:val="00251E46"/>
    <w:rsid w:val="00266217"/>
    <w:rsid w:val="00270B48"/>
    <w:rsid w:val="00293B5C"/>
    <w:rsid w:val="002A10DD"/>
    <w:rsid w:val="002A3B1A"/>
    <w:rsid w:val="002D3D2D"/>
    <w:rsid w:val="002D56A6"/>
    <w:rsid w:val="00307EBE"/>
    <w:rsid w:val="0033432B"/>
    <w:rsid w:val="0036046F"/>
    <w:rsid w:val="003B53B4"/>
    <w:rsid w:val="003E0BCB"/>
    <w:rsid w:val="00407B08"/>
    <w:rsid w:val="00432476"/>
    <w:rsid w:val="0047331E"/>
    <w:rsid w:val="004768FE"/>
    <w:rsid w:val="00476959"/>
    <w:rsid w:val="0055206F"/>
    <w:rsid w:val="00561457"/>
    <w:rsid w:val="005B3243"/>
    <w:rsid w:val="005B5F5C"/>
    <w:rsid w:val="005C6E4D"/>
    <w:rsid w:val="005E7FCF"/>
    <w:rsid w:val="005F1A7F"/>
    <w:rsid w:val="00641173"/>
    <w:rsid w:val="006550FF"/>
    <w:rsid w:val="00662786"/>
    <w:rsid w:val="0069094C"/>
    <w:rsid w:val="006B7B8E"/>
    <w:rsid w:val="006C3369"/>
    <w:rsid w:val="007128E0"/>
    <w:rsid w:val="00757D09"/>
    <w:rsid w:val="007609E4"/>
    <w:rsid w:val="00774883"/>
    <w:rsid w:val="007940C1"/>
    <w:rsid w:val="007C3DE4"/>
    <w:rsid w:val="0083071D"/>
    <w:rsid w:val="00851A91"/>
    <w:rsid w:val="008966B3"/>
    <w:rsid w:val="008B0772"/>
    <w:rsid w:val="008D3EBA"/>
    <w:rsid w:val="00941B02"/>
    <w:rsid w:val="00995F76"/>
    <w:rsid w:val="009A3BB2"/>
    <w:rsid w:val="009A40B0"/>
    <w:rsid w:val="009F3EA9"/>
    <w:rsid w:val="00A13FE3"/>
    <w:rsid w:val="00A36042"/>
    <w:rsid w:val="00A51A8B"/>
    <w:rsid w:val="00A600F9"/>
    <w:rsid w:val="00A86036"/>
    <w:rsid w:val="00A913CF"/>
    <w:rsid w:val="00AA79AB"/>
    <w:rsid w:val="00AB0F5C"/>
    <w:rsid w:val="00AC44A6"/>
    <w:rsid w:val="00AF0397"/>
    <w:rsid w:val="00AF0EDB"/>
    <w:rsid w:val="00B10CC7"/>
    <w:rsid w:val="00B25529"/>
    <w:rsid w:val="00B62F70"/>
    <w:rsid w:val="00B63858"/>
    <w:rsid w:val="00B67E19"/>
    <w:rsid w:val="00BB7771"/>
    <w:rsid w:val="00BC02C1"/>
    <w:rsid w:val="00BD7A61"/>
    <w:rsid w:val="00C379DD"/>
    <w:rsid w:val="00C603DD"/>
    <w:rsid w:val="00C948D7"/>
    <w:rsid w:val="00C94EFA"/>
    <w:rsid w:val="00CB60F9"/>
    <w:rsid w:val="00CF1A55"/>
    <w:rsid w:val="00CF2A20"/>
    <w:rsid w:val="00DA18EA"/>
    <w:rsid w:val="00DB1A99"/>
    <w:rsid w:val="00DB41F2"/>
    <w:rsid w:val="00DC3B88"/>
    <w:rsid w:val="00DD08EE"/>
    <w:rsid w:val="00DD3712"/>
    <w:rsid w:val="00DE4050"/>
    <w:rsid w:val="00E30E96"/>
    <w:rsid w:val="00E57BC8"/>
    <w:rsid w:val="00E6175E"/>
    <w:rsid w:val="00ED33B1"/>
    <w:rsid w:val="00ED4B4A"/>
    <w:rsid w:val="00F100F0"/>
    <w:rsid w:val="00F51ED4"/>
    <w:rsid w:val="00F611C7"/>
    <w:rsid w:val="00F64DC5"/>
    <w:rsid w:val="00F67D4E"/>
    <w:rsid w:val="00FF4900"/>
    <w:rsid w:val="09FD693B"/>
    <w:rsid w:val="0D6738C3"/>
    <w:rsid w:val="10E3F4F7"/>
    <w:rsid w:val="188A2888"/>
    <w:rsid w:val="1985FF95"/>
    <w:rsid w:val="25D6A92D"/>
    <w:rsid w:val="328E78AE"/>
    <w:rsid w:val="3750777E"/>
    <w:rsid w:val="4848BF33"/>
    <w:rsid w:val="507B9A86"/>
    <w:rsid w:val="65C3698C"/>
    <w:rsid w:val="6DC962AA"/>
    <w:rsid w:val="709CF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E299"/>
  <w15:chartTrackingRefBased/>
  <w15:docId w15:val="{7CA366A0-39B1-4C02-B0E2-FB15954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EBA"/>
    <w:rPr>
      <w:rFonts w:eastAsiaTheme="majorEastAsia" w:cstheme="majorBidi"/>
      <w:color w:val="272727" w:themeColor="text1" w:themeTint="D8"/>
    </w:rPr>
  </w:style>
  <w:style w:type="paragraph" w:styleId="Title">
    <w:name w:val="Title"/>
    <w:basedOn w:val="Normal"/>
    <w:next w:val="Normal"/>
    <w:link w:val="TitleChar"/>
    <w:uiPriority w:val="10"/>
    <w:qFormat/>
    <w:rsid w:val="008D3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EBA"/>
    <w:pPr>
      <w:spacing w:before="160"/>
      <w:jc w:val="center"/>
    </w:pPr>
    <w:rPr>
      <w:i/>
      <w:iCs/>
      <w:color w:val="404040" w:themeColor="text1" w:themeTint="BF"/>
    </w:rPr>
  </w:style>
  <w:style w:type="character" w:customStyle="1" w:styleId="QuoteChar">
    <w:name w:val="Quote Char"/>
    <w:basedOn w:val="DefaultParagraphFont"/>
    <w:link w:val="Quote"/>
    <w:uiPriority w:val="29"/>
    <w:rsid w:val="008D3EBA"/>
    <w:rPr>
      <w:i/>
      <w:iCs/>
      <w:color w:val="404040" w:themeColor="text1" w:themeTint="BF"/>
    </w:rPr>
  </w:style>
  <w:style w:type="paragraph" w:styleId="ListParagraph">
    <w:name w:val="List Paragraph"/>
    <w:basedOn w:val="Normal"/>
    <w:uiPriority w:val="34"/>
    <w:qFormat/>
    <w:rsid w:val="008D3EBA"/>
    <w:pPr>
      <w:ind w:left="720"/>
      <w:contextualSpacing/>
    </w:pPr>
  </w:style>
  <w:style w:type="character" w:styleId="IntenseEmphasis">
    <w:name w:val="Intense Emphasis"/>
    <w:basedOn w:val="DefaultParagraphFont"/>
    <w:uiPriority w:val="21"/>
    <w:qFormat/>
    <w:rsid w:val="008D3EBA"/>
    <w:rPr>
      <w:i/>
      <w:iCs/>
      <w:color w:val="0F4761" w:themeColor="accent1" w:themeShade="BF"/>
    </w:rPr>
  </w:style>
  <w:style w:type="paragraph" w:styleId="IntenseQuote">
    <w:name w:val="Intense Quote"/>
    <w:basedOn w:val="Normal"/>
    <w:next w:val="Normal"/>
    <w:link w:val="IntenseQuoteChar"/>
    <w:uiPriority w:val="30"/>
    <w:qFormat/>
    <w:rsid w:val="008D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EBA"/>
    <w:rPr>
      <w:i/>
      <w:iCs/>
      <w:color w:val="0F4761" w:themeColor="accent1" w:themeShade="BF"/>
    </w:rPr>
  </w:style>
  <w:style w:type="character" w:styleId="IntenseReference">
    <w:name w:val="Intense Reference"/>
    <w:basedOn w:val="DefaultParagraphFont"/>
    <w:uiPriority w:val="32"/>
    <w:qFormat/>
    <w:rsid w:val="008D3EBA"/>
    <w:rPr>
      <w:b/>
      <w:bCs/>
      <w:smallCaps/>
      <w:color w:val="0F4761" w:themeColor="accent1" w:themeShade="BF"/>
      <w:spacing w:val="5"/>
    </w:rPr>
  </w:style>
  <w:style w:type="paragraph" w:styleId="NoSpacing">
    <w:name w:val="No Spacing"/>
    <w:uiPriority w:val="1"/>
    <w:qFormat/>
    <w:rsid w:val="0036046F"/>
    <w:pPr>
      <w:spacing w:after="0" w:line="240" w:lineRule="auto"/>
    </w:pPr>
  </w:style>
  <w:style w:type="character" w:styleId="PlaceholderText">
    <w:name w:val="Placeholder Text"/>
    <w:basedOn w:val="DefaultParagraphFont"/>
    <w:uiPriority w:val="99"/>
    <w:semiHidden/>
    <w:rsid w:val="0019091D"/>
    <w:rPr>
      <w:color w:val="666666"/>
    </w:rPr>
  </w:style>
  <w:style w:type="character" w:styleId="Strong">
    <w:name w:val="Strong"/>
    <w:basedOn w:val="DefaultParagraphFont"/>
    <w:uiPriority w:val="22"/>
    <w:qFormat/>
    <w:rsid w:val="00757D09"/>
    <w:rPr>
      <w:b/>
      <w:bCs/>
    </w:rPr>
  </w:style>
  <w:style w:type="character" w:styleId="Hyperlink">
    <w:name w:val="Hyperlink"/>
    <w:basedOn w:val="DefaultParagraphFont"/>
    <w:uiPriority w:val="99"/>
    <w:unhideWhenUsed/>
    <w:rsid w:val="0047331E"/>
    <w:rPr>
      <w:color w:val="467886" w:themeColor="hyperlink"/>
      <w:u w:val="single"/>
    </w:rPr>
  </w:style>
  <w:style w:type="character" w:styleId="UnresolvedMention">
    <w:name w:val="Unresolved Mention"/>
    <w:basedOn w:val="DefaultParagraphFont"/>
    <w:uiPriority w:val="99"/>
    <w:semiHidden/>
    <w:unhideWhenUsed/>
    <w:rsid w:val="0047331E"/>
    <w:rPr>
      <w:color w:val="605E5C"/>
      <w:shd w:val="clear" w:color="auto" w:fill="E1DFDD"/>
    </w:rPr>
  </w:style>
  <w:style w:type="paragraph" w:styleId="Header">
    <w:name w:val="header"/>
    <w:basedOn w:val="Normal"/>
    <w:link w:val="HeaderChar"/>
    <w:uiPriority w:val="99"/>
    <w:unhideWhenUsed/>
    <w:rsid w:val="00BB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771"/>
  </w:style>
  <w:style w:type="paragraph" w:styleId="Footer">
    <w:name w:val="footer"/>
    <w:basedOn w:val="Normal"/>
    <w:link w:val="FooterChar"/>
    <w:uiPriority w:val="99"/>
    <w:unhideWhenUsed/>
    <w:rsid w:val="00BB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xaassetacquisition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5241A409833A42827288BBDF2ED2F2" ma:contentTypeVersion="5" ma:contentTypeDescription="Create a new document." ma:contentTypeScope="" ma:versionID="04bb8b77d59762ea7ef5aa33b3cd2afd">
  <xsd:schema xmlns:xsd="http://www.w3.org/2001/XMLSchema" xmlns:xs="http://www.w3.org/2001/XMLSchema" xmlns:p="http://schemas.microsoft.com/office/2006/metadata/properties" xmlns:ns1="http://schemas.microsoft.com/sharepoint/v3" xmlns:ns2="43182fc4-bc49-40a6-9dd5-41e4a5073683" targetNamespace="http://schemas.microsoft.com/office/2006/metadata/properties" ma:root="true" ma:fieldsID="541076d9c6f4cdece11c8b7e1250e3a3" ns1:_="" ns2:_="">
    <xsd:import namespace="http://schemas.microsoft.com/sharepoint/v3"/>
    <xsd:import namespace="43182fc4-bc49-40a6-9dd5-41e4a5073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2fc4-bc49-40a6-9dd5-41e4a5073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052355-95C3-4E37-98FA-AE55EF5B5978}">
  <ds:schemaRefs>
    <ds:schemaRef ds:uri="http://schemas.microsoft.com/sharepoint/v3/contenttype/forms"/>
  </ds:schemaRefs>
</ds:datastoreItem>
</file>

<file path=customXml/itemProps2.xml><?xml version="1.0" encoding="utf-8"?>
<ds:datastoreItem xmlns:ds="http://schemas.openxmlformats.org/officeDocument/2006/customXml" ds:itemID="{6A4F4C37-D9DE-4D07-800D-94395130648F}"/>
</file>

<file path=customXml/itemProps3.xml><?xml version="1.0" encoding="utf-8"?>
<ds:datastoreItem xmlns:ds="http://schemas.openxmlformats.org/officeDocument/2006/customXml" ds:itemID="{1CDCECB9-DCC1-4D8A-9AED-3FD300C2B4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3386</Characters>
  <Application>Microsoft Office Word</Application>
  <DocSecurity>4</DocSecurity>
  <Lines>102</Lines>
  <Paragraphs>45</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Greenhill Global</dc:creator>
  <cp:keywords/>
  <dc:description/>
  <cp:lastModifiedBy>Matt Dion</cp:lastModifiedBy>
  <cp:revision>2</cp:revision>
  <dcterms:created xsi:type="dcterms:W3CDTF">2026-02-17T17:33:00Z</dcterms:created>
  <dcterms:modified xsi:type="dcterms:W3CDTF">2026-02-17T17:33:00Z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0x010100745241A409833A42827288BBDF2ED2F2</vt:lpwstr>
  </property>
</Properties>
</file>